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1B" w:rsidRPr="00D1081B" w:rsidRDefault="00D1081B" w:rsidP="00D1081B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1081B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Pharmacy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 w:eastAsia="uk-UA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D1081B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>rd</w:t>
      </w:r>
      <w:r w:rsidRPr="00D1081B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D1081B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ab/>
        <w:t>38(20+18)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/>
        </w:rPr>
        <w:t>pharmacy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additional term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>0,5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(2012/2013)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 xml:space="preserve">summer practice: learning practice in 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proofErr w:type="gramStart"/>
      <w:r w:rsidRPr="00D1081B">
        <w:rPr>
          <w:rFonts w:ascii="Times New Roman" w:hAnsi="Times New Roman" w:cs="Times New Roman"/>
          <w:sz w:val="20"/>
          <w:szCs w:val="20"/>
          <w:lang w:val="en-US"/>
        </w:rPr>
        <w:t>pharmacognosy</w:t>
      </w:r>
      <w:proofErr w:type="spellEnd"/>
      <w:proofErr w:type="gramEnd"/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D1081B" w:rsidRPr="00D1081B" w:rsidRDefault="00D1081B" w:rsidP="00D1081B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en-US" w:eastAsia="uk-UA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>summer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vacations</w:t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ab/>
        <w:t>10</w:t>
      </w:r>
    </w:p>
    <w:tbl>
      <w:tblPr>
        <w:tblW w:w="15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853"/>
        <w:gridCol w:w="849"/>
        <w:gridCol w:w="876"/>
        <w:gridCol w:w="726"/>
        <w:gridCol w:w="754"/>
        <w:gridCol w:w="744"/>
        <w:gridCol w:w="911"/>
        <w:gridCol w:w="900"/>
        <w:gridCol w:w="972"/>
        <w:gridCol w:w="981"/>
        <w:gridCol w:w="747"/>
        <w:gridCol w:w="720"/>
        <w:gridCol w:w="720"/>
        <w:gridCol w:w="744"/>
        <w:gridCol w:w="900"/>
      </w:tblGrid>
      <w:tr w:rsidR="00D1081B" w:rsidRPr="00D1081B" w:rsidTr="006F6C31">
        <w:tc>
          <w:tcPr>
            <w:tcW w:w="467" w:type="dxa"/>
            <w:vMerge w:val="restart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853" w:type="dxa"/>
            <w:vMerge w:val="restart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849" w:type="dxa"/>
            <w:vMerge w:val="restart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dits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911" w:type="dxa"/>
            <w:gridSpan w:val="6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Autumn semester</w:t>
            </w:r>
          </w:p>
        </w:tc>
        <w:tc>
          <w:tcPr>
            <w:tcW w:w="972" w:type="dxa"/>
            <w:vMerge w:val="restart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dits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812" w:type="dxa"/>
            <w:gridSpan w:val="6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Spring semester</w:t>
            </w:r>
          </w:p>
        </w:tc>
      </w:tr>
      <w:tr w:rsidR="00D1081B" w:rsidRPr="00D1081B" w:rsidTr="006F6C31">
        <w:tc>
          <w:tcPr>
            <w:tcW w:w="467" w:type="dxa"/>
            <w:vMerge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3" w:type="dxa"/>
            <w:vMerge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2" w:type="dxa"/>
            <w:vMerge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D1081B" w:rsidRPr="00D1081B" w:rsidRDefault="00D1081B" w:rsidP="00D1081B">
            <w:pPr>
              <w:spacing w:line="240" w:lineRule="auto"/>
              <w:ind w:left="-312" w:firstLine="3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</w:t>
            </w:r>
            <w:proofErr w:type="spellEnd"/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Technology of Drug Preparations in the Drugstore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and Colloidal Chemistry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Biological Chemistry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Pharmaceutical Chemistry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3,694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Microbiology with Fundamentals of Immunology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 and Economics of Pharmacy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pStyle w:val="1"/>
              <w:rPr>
                <w:sz w:val="20"/>
                <w:lang w:val="en-US"/>
              </w:rPr>
            </w:pPr>
            <w:proofErr w:type="spellStart"/>
            <w:r w:rsidRPr="00D1081B">
              <w:rPr>
                <w:sz w:val="20"/>
                <w:lang w:val="en-US"/>
              </w:rPr>
              <w:t>Pharmacognosy</w:t>
            </w:r>
            <w:proofErr w:type="spellEnd"/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Ethics and Deontology in Pharmacy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pStyle w:val="6"/>
              <w:rPr>
                <w:b w:val="0"/>
              </w:rPr>
            </w:pPr>
            <w:r w:rsidRPr="00D1081B">
              <w:rPr>
                <w:b w:val="0"/>
              </w:rPr>
              <w:t>Hygiene in Pharmacy with Fundamentals of ecology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pStyle w:val="6"/>
              <w:rPr>
                <w:b w:val="0"/>
              </w:rPr>
            </w:pPr>
            <w:r w:rsidRPr="00D1081B">
              <w:rPr>
                <w:b w:val="0"/>
              </w:rPr>
              <w:t>Pharmacology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pStyle w:val="6"/>
              <w:rPr>
                <w:b w:val="0"/>
              </w:rPr>
            </w:pPr>
            <w:r w:rsidRPr="00D1081B">
              <w:rPr>
                <w:b w:val="0"/>
              </w:rPr>
              <w:t>Extreme Medicine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>earning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>ractice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D1081B">
              <w:rPr>
                <w:rFonts w:ascii="Times New Roman" w:hAnsi="Times New Roman" w:cs="Times New Roman"/>
                <w:sz w:val="20"/>
                <w:szCs w:val="20"/>
              </w:rPr>
              <w:t>harmacognosy</w:t>
            </w:r>
            <w:proofErr w:type="spellEnd"/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853" w:type="dxa"/>
            <w:vAlign w:val="center"/>
          </w:tcPr>
          <w:p w:rsidR="00D1081B" w:rsidRPr="00D1081B" w:rsidRDefault="00D1081B" w:rsidP="00D1081B">
            <w:pPr>
              <w:pStyle w:val="6"/>
              <w:rPr>
                <w:b w:val="0"/>
              </w:rPr>
            </w:pPr>
            <w:r w:rsidRPr="00D1081B">
              <w:rPr>
                <w:b w:val="0"/>
              </w:rPr>
              <w:t>Elective Course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81B" w:rsidRPr="00D1081B" w:rsidTr="006F6C31">
        <w:tc>
          <w:tcPr>
            <w:tcW w:w="46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3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49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29,3</w:t>
            </w:r>
          </w:p>
        </w:tc>
        <w:tc>
          <w:tcPr>
            <w:tcW w:w="87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1055</w:t>
            </w:r>
          </w:p>
        </w:tc>
        <w:tc>
          <w:tcPr>
            <w:tcW w:w="726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168</w:t>
            </w:r>
          </w:p>
        </w:tc>
        <w:tc>
          <w:tcPr>
            <w:tcW w:w="75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425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1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462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30,69</w:t>
            </w:r>
          </w:p>
        </w:tc>
        <w:tc>
          <w:tcPr>
            <w:tcW w:w="981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1105</w:t>
            </w:r>
          </w:p>
        </w:tc>
        <w:tc>
          <w:tcPr>
            <w:tcW w:w="747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487</w:t>
            </w:r>
          </w:p>
        </w:tc>
        <w:tc>
          <w:tcPr>
            <w:tcW w:w="72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44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506</w:t>
            </w:r>
          </w:p>
        </w:tc>
        <w:tc>
          <w:tcPr>
            <w:tcW w:w="900" w:type="dxa"/>
          </w:tcPr>
          <w:p w:rsidR="00D1081B" w:rsidRPr="00D1081B" w:rsidRDefault="00D1081B" w:rsidP="00D108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Learning Practice in </w:t>
      </w:r>
      <w:proofErr w:type="spellStart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>Pharmacognosy</w:t>
      </w:r>
      <w:proofErr w:type="spellEnd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– credits-3</w:t>
      </w:r>
      <w:proofErr w:type="gramStart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>,0</w:t>
      </w:r>
      <w:proofErr w:type="gramEnd"/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(in total -108 hours: academic hours – 72, self-reliant study – 36, type of control – credit with the mark)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>Elective Courses: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1. Theory of Familiarization and Pharmacy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6. Pharmaceutical Aspects of Alcoholism and Drug Addiction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2. Ethic Problems in Pharmacy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7. Functional Biochemistry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3. Fundamentals of Social Psychology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 xml:space="preserve">8. Factors and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en-US"/>
        </w:rPr>
        <w:t>Mechnisms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 of Pharmacologic Activity and Toxicity of Drugs on the Steps of Pharmacokinetics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4. Physical Training and Health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9. Dermatology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5. Accessory Activity of Drugs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ab/>
        <w:t>10. Psychology</w:t>
      </w:r>
    </w:p>
    <w:p w:rsidR="00D1081B" w:rsidRPr="00D1081B" w:rsidRDefault="00D1081B" w:rsidP="00D1081B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11. Economic Theory</w:t>
      </w:r>
    </w:p>
    <w:p w:rsidR="00D1081B" w:rsidRPr="00D1081B" w:rsidRDefault="00D1081B" w:rsidP="00D1081B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12.  Foreign Language (second)</w:t>
      </w:r>
    </w:p>
    <w:p w:rsidR="00D1081B" w:rsidRPr="00D1081B" w:rsidRDefault="00D1081B" w:rsidP="00D1081B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13. Foreign Language for professional purposes</w:t>
      </w:r>
    </w:p>
    <w:p w:rsidR="00D1081B" w:rsidRPr="00D1081B" w:rsidRDefault="00D1081B" w:rsidP="00D1081B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sz w:val="20"/>
          <w:szCs w:val="20"/>
          <w:lang w:val="en-US"/>
        </w:rPr>
        <w:t>14. Foundations of Christian ethics and morality</w:t>
      </w:r>
    </w:p>
    <w:p w:rsidR="00D1081B" w:rsidRPr="00D1081B" w:rsidRDefault="00D1081B" w:rsidP="00D1081B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D1081B" w:rsidRPr="00D1081B" w:rsidRDefault="00D1081B" w:rsidP="00D1081B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D1081B" w:rsidRPr="00D1081B" w:rsidRDefault="00D1081B" w:rsidP="00D1081B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Learning practice in </w:t>
      </w:r>
      <w:r w:rsidRPr="00D1081B">
        <w:rPr>
          <w:rFonts w:ascii="Times New Roman" w:hAnsi="Times New Roman" w:cs="Times New Roman"/>
          <w:b/>
          <w:sz w:val="20"/>
          <w:szCs w:val="20"/>
          <w:lang w:val="en-GB"/>
        </w:rPr>
        <w:t>Industrial Technology of Drug Preparations – 1</w:t>
      </w:r>
      <w:proofErr w:type="gramStart"/>
      <w:r w:rsidRPr="00D1081B">
        <w:rPr>
          <w:rFonts w:ascii="Times New Roman" w:hAnsi="Times New Roman" w:cs="Times New Roman"/>
          <w:b/>
          <w:sz w:val="20"/>
          <w:szCs w:val="20"/>
          <w:lang w:val="en-GB"/>
        </w:rPr>
        <w:t>,5</w:t>
      </w:r>
      <w:proofErr w:type="gramEnd"/>
      <w:r w:rsidRPr="00D108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credits (in total 54 hours: academic – 36 hours, self-reliant study – 18 hours, type of control – credit)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Industrial practice in </w:t>
      </w:r>
      <w:r w:rsidRPr="00D1081B">
        <w:rPr>
          <w:rFonts w:ascii="Times New Roman" w:hAnsi="Times New Roman" w:cs="Times New Roman"/>
          <w:b/>
          <w:sz w:val="20"/>
          <w:szCs w:val="20"/>
          <w:lang w:val="en-US"/>
        </w:rPr>
        <w:t>Technology of Drug Preparations in the Drugstore – 4,5 credits (in total 162 hours – academic – 108 hours, self-reliant study – 54 hours, type of control – credit with the mark)</w:t>
      </w:r>
    </w:p>
    <w:p w:rsidR="00D1081B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08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Elective courses: </w:t>
      </w:r>
      <w:r w:rsidRPr="00D1081B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Modern problems of Biophysics. 2.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en-US"/>
        </w:rPr>
        <w:t>Aromology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en-US"/>
        </w:rPr>
        <w:t>Cosmeticology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en-US"/>
        </w:rPr>
        <w:t>Aromotherapy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. 3. Pharmaceutical Aspects of </w:t>
      </w:r>
      <w:proofErr w:type="spellStart"/>
      <w:r w:rsidRPr="00D1081B">
        <w:rPr>
          <w:rFonts w:ascii="Times New Roman" w:hAnsi="Times New Roman" w:cs="Times New Roman"/>
          <w:sz w:val="20"/>
          <w:szCs w:val="20"/>
          <w:lang w:val="en-US"/>
        </w:rPr>
        <w:t>Nutriciology</w:t>
      </w:r>
      <w:proofErr w:type="spellEnd"/>
      <w:r w:rsidRPr="00D1081B">
        <w:rPr>
          <w:rFonts w:ascii="Times New Roman" w:hAnsi="Times New Roman" w:cs="Times New Roman"/>
          <w:sz w:val="20"/>
          <w:szCs w:val="20"/>
          <w:lang w:val="en-US"/>
        </w:rPr>
        <w:t xml:space="preserve"> (biologically active additives</w:t>
      </w:r>
      <w:r w:rsidRPr="00D108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C74BF6" w:rsidRPr="00D1081B" w:rsidRDefault="00D1081B" w:rsidP="00D108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4. Training communication. 5. Physical Training and Health. 6. Fundamentals of modern Homeopathy. </w:t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>7.Fundamentals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of foreign economic activity of the pharmaceutical industry. </w:t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>8.Teoretical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base of synthesis and connection between structure and action of drugs. 9. Modern research methods of biological system.10. </w:t>
      </w:r>
      <w:proofErr w:type="gramStart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>Optimization of production and quality control of drugs.</w:t>
      </w:r>
      <w:proofErr w:type="gramEnd"/>
      <w:r w:rsidRPr="00D1081B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11. Perfumery and cosmetics. 12. Veterinary drugs. 13. Environmental</w:t>
      </w:r>
    </w:p>
    <w:sectPr w:rsidR="00C74BF6" w:rsidRPr="00D1081B" w:rsidSect="00D10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81B"/>
    <w:rsid w:val="00C74BF6"/>
    <w:rsid w:val="00D1081B"/>
    <w:rsid w:val="00EB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8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1081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81B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1081B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2012-12-13T12:41:00Z</dcterms:created>
  <dcterms:modified xsi:type="dcterms:W3CDTF">2012-12-13T12:54:00Z</dcterms:modified>
</cp:coreProperties>
</file>